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0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0"/>
              <w:spacing w:line="240" w:lineRule="exact"/>
              <w:ind w:right="1134"/>
            </w:pPr>
          </w:p>
          <w:p w14:paraId="03000000">
            <w:pPr>
              <w:widowControl w:val="0"/>
              <w:spacing w:line="240" w:lineRule="exact"/>
              <w:ind w:right="1134"/>
            </w:pPr>
          </w:p>
          <w:p w14:paraId="04000000">
            <w:pPr>
              <w:widowControl w:val="0"/>
              <w:spacing w:line="240" w:lineRule="exact"/>
              <w:ind w:right="1134"/>
            </w:pPr>
          </w:p>
          <w:p w14:paraId="05000000">
            <w:pPr>
              <w:widowControl w:val="0"/>
              <w:spacing w:line="240" w:lineRule="exact"/>
              <w:ind w:right="1134"/>
            </w:pPr>
          </w:p>
          <w:p w14:paraId="06000000">
            <w:pPr>
              <w:widowControl w:val="0"/>
              <w:spacing w:line="240" w:lineRule="exact"/>
              <w:ind w:right="1134"/>
            </w:pPr>
          </w:p>
          <w:p w14:paraId="07000000">
            <w:pPr>
              <w:widowControl w:val="0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0"/>
              <w:spacing w:line="240" w:lineRule="exact"/>
              <w:ind/>
              <w:jc w:val="both"/>
            </w:pPr>
          </w:p>
        </w:tc>
      </w:tr>
    </w:tbl>
    <w:p w14:paraId="09000000">
      <w:pPr>
        <w:widowControl w:val="0"/>
        <w:ind/>
        <w:jc w:val="both"/>
        <w:rPr>
          <w:b w:val="1"/>
        </w:rPr>
      </w:pPr>
    </w:p>
    <w:p w14:paraId="0A000000">
      <w:pPr>
        <w:widowControl w:val="0"/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widowControl w:val="0"/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widowControl w:val="0"/>
        <w:ind/>
        <w:jc w:val="both"/>
        <w:rPr>
          <w:b w:val="1"/>
        </w:rPr>
      </w:pPr>
    </w:p>
    <w:p w14:paraId="0D000000">
      <w:pPr>
        <w:widowControl w:val="1"/>
        <w:ind/>
        <w:jc w:val="both"/>
        <w:rPr>
          <w:b w:val="1"/>
        </w:rPr>
      </w:pPr>
      <w:r>
        <w:rPr>
          <w:b w:val="1"/>
        </w:rPr>
        <w:t>Что нужно знать о порядке поступления и распределения в учреждениях УИС гуманитарной и благотворительной помощи.</w:t>
      </w:r>
    </w:p>
    <w:p w14:paraId="0E000000">
      <w:pPr>
        <w:widowControl w:val="1"/>
        <w:ind/>
        <w:jc w:val="both"/>
        <w:rPr>
          <w:b w:val="1"/>
        </w:rPr>
      </w:pPr>
    </w:p>
    <w:p w14:paraId="0F000000">
      <w:pPr>
        <w:widowControl w:val="1"/>
        <w:ind w:firstLine="425"/>
        <w:jc w:val="both"/>
      </w:pPr>
      <w:r>
        <w:t>З</w:t>
      </w:r>
      <w:r>
        <w:t>аконом Российской Федерации от 21.07.1993 № 5473-1 «Об учреждениях и органах, исполняющих уголовные наказания в виде лишения свободы» учреждениям, исполняющим наказания, предоставлены права принимать во владение и пользование от учреждений, организаций и предприятий любых организационно-правовых форм, а также граждан материально-технические ресурсы, финансовые средства и имущество (пункт 19 статьи 14). Других упоминаний в действующем уголовно-исполнительном законодательстве о благотворительной и гуманитарной помощи учреждениям уголовно-исполнительной системы (далее – УИС)</w:t>
      </w:r>
      <w:r>
        <w:t>.</w:t>
      </w:r>
    </w:p>
    <w:p w14:paraId="10000000">
      <w:pPr>
        <w:widowControl w:val="1"/>
        <w:ind w:firstLine="425"/>
        <w:jc w:val="both"/>
      </w:pPr>
      <w:r>
        <w:t>В настоящее время вышеуказанные вопросы регулируются Методическими рекомендациями по приему благотворительных пожертвований в форме передачи имущества, в том числе денежных средств, и контролю за их целевым использованием учреждениями уголовно-исполнительной системы, утвержденными Распоряжением директора ФСИН России от 30 сентября 2014 г. № 188-р (далее – Рекомендации).</w:t>
      </w:r>
    </w:p>
    <w:p w14:paraId="11000000">
      <w:pPr>
        <w:widowControl w:val="1"/>
        <w:ind w:firstLine="425"/>
        <w:jc w:val="both"/>
      </w:pPr>
      <w:r>
        <w:t>В соответствии с Рекомендациями прием благотворительных пожертвований, передаваемых для конкретных подозреваемых, обвиняемых и осужденных, содержащихся в учреждениях УИС, запрещается.</w:t>
      </w:r>
    </w:p>
    <w:p w14:paraId="12000000">
      <w:pPr>
        <w:widowControl w:val="1"/>
        <w:ind w:firstLine="425"/>
        <w:jc w:val="both"/>
      </w:pPr>
      <w:r>
        <w:t>Основанием для приема такой помощи является письменное обращение на имя начальника учреждения УИС, в котором указывается форма осуществления пожертвования, а также наименование, количество, цена и целевое назначение передаваемых материально-технических ресурсов, имущества и финансовых средств. Данное обращение в обязательном порядке регистрируется в подразделении делопроизводства учреждения УИС.</w:t>
      </w:r>
    </w:p>
    <w:p w14:paraId="13000000">
      <w:pPr>
        <w:widowControl w:val="1"/>
        <w:ind w:firstLine="425"/>
        <w:jc w:val="both"/>
      </w:pPr>
      <w:r>
        <w:t xml:space="preserve">Приказом начальника этого учреждения создается специальная комиссия по приему и распределению пожертвований, утверждается ее состав и Положение. В состав комиссии в обязательном порядке входят представители всех заинтересованных служб (бухгалтерия, тыловая, оперативная и юридическая службы, медицинские работники и другие). Перед приемом помощи проводится правовая экспертиза сделки (договора) и ее законности, изучается вся документация. Затем этот договор официально подписывается и регистрируется, ставится на бухгалтерский учет. Комиссия составляет план распределения этой помощи. В нем подробно указывается источник </w:t>
      </w:r>
      <w:r>
        <w:t>поступления пожертвования, наименование, количество, качественные характеристики, информация об оприходовании (книги, карточки складского учета, фамилия, имя, отчество материально-ответственного лица, принявшего ценности) и получатель (получатели). Прием пожертвований в форме финансовых средств, имеющих целевое значение, осуществляется путем зачисления данных денежных средств в доход федерального бюджета на соответствующие коды классификации федерального бюджета, закрепленные за учреждениями УИС. Контроль за поступлением, распределением и целевым использованием благотворительных пожертвований осуществляет начальник учреждения УИС.</w:t>
      </w:r>
    </w:p>
    <w:p w14:paraId="14000000">
      <w:pPr>
        <w:widowControl w:val="1"/>
        <w:ind w:firstLine="425"/>
        <w:jc w:val="both"/>
      </w:pPr>
      <w:r>
        <w:t>По всем случаям недостачи, хищений и злоупотреблений, а также нецелевого использования благотворительных пожертвований проводятся служебные проверки в установленном порядке, при наличии оснований материалы передаются в следственные органы.</w:t>
      </w:r>
    </w:p>
    <w:p w14:paraId="15000000">
      <w:pPr>
        <w:widowControl w:val="1"/>
        <w:ind w:firstLine="425"/>
        <w:jc w:val="both"/>
      </w:pPr>
      <w:r>
        <w:t>Несмотря на отсутствие в органах прокуратуры фактов, свидетельствующих о распространенности случаев злоупотреблений при приеме и распределении гуманитарной помощи, полагаем, что данные вопросы следует прописать законодательно, что, несомненно, повысит ответственность лиц, привлеченных к работе по приему и распределению пожертвований, за возможные злоупотребления. Кроме того, законодательные акты доступны значительно более широкому кругу людей, чем внутриведомственные нормативные организационно-распорядительные документы. Это делает правоотношения в данной сфере более прозрачными и ясными. И наконец, законодательное закрепление порядка осуществления гуманитарной помощи позволит контролирующим и надзорным органам осуществлять свои функции в полном объеме.</w:t>
      </w:r>
    </w:p>
    <w:p w14:paraId="16000000">
      <w:pPr>
        <w:widowControl w:val="0"/>
        <w:ind w:firstLine="709" w:left="0"/>
      </w:pPr>
    </w:p>
    <w:p w14:paraId="17000000">
      <w:pPr>
        <w:widowControl w:val="0"/>
        <w:ind/>
        <w:jc w:val="both"/>
      </w:pPr>
    </w:p>
    <w:p w14:paraId="18000000">
      <w:pPr>
        <w:widowControl w:val="0"/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19000000">
      <w:pPr>
        <w:widowControl w:val="0"/>
        <w:ind w:firstLine="709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0"/>
      <w:spacing w:afterAutospacing="on" w:beforeAutospacing="on"/>
      <w:ind/>
    </w:pPr>
    <w:rPr>
      <w:sz w:val="24"/>
    </w:rPr>
  </w:style>
  <w:style w:styleId="Style_9_ch" w:type="character">
    <w:name w:val="Normal (Web)"/>
    <w:basedOn w:val="Style_2_ch"/>
    <w:link w:val="Style_9"/>
    <w:rPr>
      <w:sz w:val="24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header"/>
    <w:basedOn w:val="Style_2"/>
    <w:link w:val="Style_20_ch"/>
    <w:pPr>
      <w:widowControl w:val="0"/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2_ch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2025-12-25T04:36:57Z</dcterms:created>
  <dcterms:modified xsi:type="dcterms:W3CDTF">2025-12-25T04:36:57Z</dcterms:modified>
</cp:coreProperties>
</file>